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8611" w14:textId="77777777" w:rsidR="00E97D3A" w:rsidRPr="00E203D1" w:rsidRDefault="00E97D3A" w:rsidP="00EC5C34">
      <w:pPr>
        <w:pStyle w:val="ListParagraph"/>
        <w:spacing w:line="240" w:lineRule="auto"/>
        <w:ind w:hanging="72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1D10DCC" w14:textId="77777777" w:rsidR="00EC5C34" w:rsidRPr="00E203D1" w:rsidRDefault="00E97D3A" w:rsidP="002C248D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2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2"/>
          <w:szCs w:val="20"/>
        </w:rPr>
        <w:t>Women Physicians Section (</w:t>
      </w:r>
      <w:r w:rsidR="00EC5C34" w:rsidRPr="00E203D1">
        <w:rPr>
          <w:rFonts w:ascii="Arial" w:hAnsi="Arial" w:cs="Arial"/>
          <w:b/>
          <w:color w:val="000000" w:themeColor="text1"/>
          <w:sz w:val="22"/>
          <w:szCs w:val="20"/>
        </w:rPr>
        <w:t>WPS</w:t>
      </w:r>
      <w:r w:rsidRPr="00E203D1">
        <w:rPr>
          <w:rFonts w:ascii="Arial" w:hAnsi="Arial" w:cs="Arial"/>
          <w:b/>
          <w:color w:val="000000" w:themeColor="text1"/>
          <w:sz w:val="22"/>
          <w:szCs w:val="20"/>
        </w:rPr>
        <w:t>)</w:t>
      </w:r>
      <w:r w:rsidR="00EC5C34" w:rsidRPr="00E203D1">
        <w:rPr>
          <w:rFonts w:ascii="Arial" w:hAnsi="Arial" w:cs="Arial"/>
          <w:b/>
          <w:color w:val="000000" w:themeColor="text1"/>
          <w:sz w:val="22"/>
          <w:szCs w:val="20"/>
        </w:rPr>
        <w:t xml:space="preserve"> </w:t>
      </w:r>
      <w:r w:rsidRPr="00E203D1">
        <w:rPr>
          <w:rFonts w:ascii="Arial" w:hAnsi="Arial" w:cs="Arial"/>
          <w:b/>
          <w:color w:val="000000" w:themeColor="text1"/>
          <w:sz w:val="22"/>
          <w:szCs w:val="20"/>
        </w:rPr>
        <w:t>Resolution</w:t>
      </w:r>
      <w:r w:rsidR="00EC5C34" w:rsidRPr="00E203D1">
        <w:rPr>
          <w:rFonts w:ascii="Arial" w:hAnsi="Arial" w:cs="Arial"/>
          <w:b/>
          <w:color w:val="000000" w:themeColor="text1"/>
          <w:sz w:val="22"/>
          <w:szCs w:val="20"/>
        </w:rPr>
        <w:t xml:space="preserve"> Idea </w:t>
      </w:r>
      <w:r w:rsidR="00951FD0" w:rsidRPr="00E203D1">
        <w:rPr>
          <w:rFonts w:ascii="Arial" w:hAnsi="Arial" w:cs="Arial"/>
          <w:b/>
          <w:color w:val="000000" w:themeColor="text1"/>
          <w:sz w:val="22"/>
          <w:szCs w:val="20"/>
        </w:rPr>
        <w:t>Tool</w:t>
      </w:r>
    </w:p>
    <w:p w14:paraId="0C0B19DD" w14:textId="77777777" w:rsidR="00EC5C34" w:rsidRPr="00E203D1" w:rsidRDefault="00EC5C34" w:rsidP="002C248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0EBE317" w14:textId="77777777" w:rsidR="00277745" w:rsidRDefault="00E35FE7" w:rsidP="002777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77745">
        <w:rPr>
          <w:rFonts w:ascii="Arial" w:hAnsi="Arial" w:cs="Arial"/>
          <w:sz w:val="20"/>
          <w:szCs w:val="20"/>
        </w:rPr>
        <w:t xml:space="preserve">The purpose of the AMA Women Physicians Section (WPS) is to increase the number and influence of women physicians in leadership roles. </w:t>
      </w:r>
      <w:r w:rsidR="00277745" w:rsidRPr="00277745">
        <w:rPr>
          <w:rFonts w:ascii="Arial" w:hAnsi="Arial" w:cs="Arial"/>
          <w:color w:val="000000"/>
          <w:sz w:val="20"/>
          <w:szCs w:val="20"/>
        </w:rPr>
        <w:t>Members of the WPS strive to accomplish the following goals:</w:t>
      </w:r>
    </w:p>
    <w:p w14:paraId="1473BEDA" w14:textId="77777777" w:rsidR="00277745" w:rsidRPr="004E0351" w:rsidRDefault="00277745" w:rsidP="002777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14:paraId="376D6E56" w14:textId="77777777" w:rsidR="00277745" w:rsidRPr="00277745" w:rsidRDefault="00277745" w:rsidP="008A686A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Provide a forum for networking, mentoring, advocacy and leadership development for women physicians and medical students.</w:t>
      </w:r>
    </w:p>
    <w:p w14:paraId="7C2EBB78" w14:textId="77777777" w:rsidR="00277745" w:rsidRPr="00277745" w:rsidRDefault="00277745" w:rsidP="008A686A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Contribute to AMA efforts to increase the membership, participation and leadership of women in the AMA.</w:t>
      </w:r>
    </w:p>
    <w:p w14:paraId="27DAEFD1" w14:textId="77777777" w:rsidR="00277745" w:rsidRPr="00277745" w:rsidRDefault="00277745" w:rsidP="008A686A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Monitor trends, while identifying and addressing emerging professional issues affecting women in medicine.</w:t>
      </w:r>
    </w:p>
    <w:p w14:paraId="152EFD45" w14:textId="77777777" w:rsidR="00277745" w:rsidRPr="00277745" w:rsidRDefault="00277745" w:rsidP="008A686A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Expand AMA advocacy on women’s health and women in medicine policy issues.</w:t>
      </w:r>
    </w:p>
    <w:p w14:paraId="46B6F976" w14:textId="77777777" w:rsidR="00277745" w:rsidRPr="00277745" w:rsidRDefault="00277745" w:rsidP="008A686A">
      <w:pPr>
        <w:numPr>
          <w:ilvl w:val="0"/>
          <w:numId w:val="7"/>
        </w:numPr>
        <w:shd w:val="clear" w:color="auto" w:fill="FFFFFF"/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277745">
        <w:rPr>
          <w:rFonts w:ascii="Arial" w:eastAsia="Times New Roman" w:hAnsi="Arial" w:cs="Arial"/>
          <w:color w:val="000000"/>
          <w:sz w:val="20"/>
          <w:szCs w:val="20"/>
        </w:rPr>
        <w:t>Enhance AMA cooperation and collaboration with organizations with mutual concerns.</w:t>
      </w:r>
    </w:p>
    <w:p w14:paraId="748D02F3" w14:textId="77777777" w:rsidR="00277745" w:rsidRDefault="00277745" w:rsidP="002C248D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60B7115F" w14:textId="77777777" w:rsidR="006E22D9" w:rsidRDefault="00725B08" w:rsidP="002C248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One of the ways the WPS e</w:t>
      </w:r>
      <w:r w:rsidRPr="00725B08">
        <w:rPr>
          <w:rFonts w:ascii="Arial" w:hAnsi="Arial" w:cs="Arial"/>
          <w:color w:val="000000" w:themeColor="text1"/>
          <w:sz w:val="20"/>
          <w:szCs w:val="20"/>
        </w:rPr>
        <w:t>xpand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725B08">
        <w:rPr>
          <w:rFonts w:ascii="Arial" w:hAnsi="Arial" w:cs="Arial"/>
          <w:color w:val="000000" w:themeColor="text1"/>
          <w:sz w:val="20"/>
          <w:szCs w:val="20"/>
        </w:rPr>
        <w:t xml:space="preserve"> AMA advocacy on women’s health and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women in medicine policy issues is through its policy making process (e.g., resolution writing). </w:t>
      </w:r>
      <w:r w:rsidR="004E0351" w:rsidRPr="00DA675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A675D">
        <w:rPr>
          <w:rFonts w:ascii="Arial" w:hAnsi="Arial" w:cs="Arial"/>
          <w:color w:val="000000" w:themeColor="text1"/>
          <w:sz w:val="20"/>
          <w:szCs w:val="20"/>
        </w:rPr>
        <w:t>WPS welcomes resolutions that</w:t>
      </w:r>
      <w:r w:rsidR="004E0351" w:rsidRPr="00DA675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225555" w14:textId="77777777" w:rsidR="00DE17C4" w:rsidRPr="004E0351" w:rsidRDefault="00DE17C4" w:rsidP="002C248D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42308654" w14:textId="77777777" w:rsidR="006E22D9" w:rsidRPr="00212E5C" w:rsidRDefault="00DA675D" w:rsidP="00212E5C">
      <w:pPr>
        <w:pStyle w:val="ListParagraph"/>
        <w:numPr>
          <w:ilvl w:val="0"/>
          <w:numId w:val="8"/>
        </w:numPr>
        <w:tabs>
          <w:tab w:val="num" w:pos="360"/>
        </w:tabs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12E5C">
        <w:rPr>
          <w:rFonts w:ascii="Arial" w:hAnsi="Arial" w:cs="Arial"/>
          <w:color w:val="000000" w:themeColor="text1"/>
          <w:sz w:val="20"/>
          <w:szCs w:val="20"/>
        </w:rPr>
        <w:t>Offer a</w:t>
      </w:r>
      <w:r w:rsidR="004E0351" w:rsidRPr="00212E5C">
        <w:rPr>
          <w:rFonts w:ascii="Arial" w:hAnsi="Arial" w:cs="Arial"/>
          <w:color w:val="000000" w:themeColor="text1"/>
          <w:sz w:val="20"/>
          <w:szCs w:val="20"/>
        </w:rPr>
        <w:t xml:space="preserve"> clear directive to the Governing Council (e.g., work with AMA staff to integrate women physicians into AMA activities)</w:t>
      </w:r>
    </w:p>
    <w:p w14:paraId="5A9E264C" w14:textId="77777777" w:rsidR="006E22D9" w:rsidRPr="00212E5C" w:rsidRDefault="004E0351" w:rsidP="00212E5C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212E5C">
        <w:rPr>
          <w:rFonts w:ascii="Arial" w:hAnsi="Arial" w:cs="Arial"/>
          <w:color w:val="000000" w:themeColor="text1"/>
          <w:sz w:val="20"/>
          <w:szCs w:val="20"/>
        </w:rPr>
        <w:t>Seek to create new AMA policy or amend existing AMA policy</w:t>
      </w:r>
    </w:p>
    <w:p w14:paraId="00300D07" w14:textId="77777777" w:rsidR="00E203D1" w:rsidRPr="00DA675D" w:rsidRDefault="00E203D1" w:rsidP="002C248D">
      <w:pPr>
        <w:pStyle w:val="ListParagraph"/>
        <w:spacing w:line="240" w:lineRule="auto"/>
        <w:ind w:left="0" w:hanging="720"/>
        <w:rPr>
          <w:rFonts w:ascii="Arial" w:hAnsi="Arial" w:cs="Arial"/>
          <w:color w:val="000000" w:themeColor="text1"/>
          <w:sz w:val="20"/>
          <w:szCs w:val="20"/>
        </w:rPr>
      </w:pPr>
    </w:p>
    <w:p w14:paraId="4E7069BC" w14:textId="77777777" w:rsidR="00E203D1" w:rsidRPr="00DA675D" w:rsidRDefault="00E203D1" w:rsidP="002C248D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DA675D">
        <w:rPr>
          <w:rFonts w:ascii="Arial" w:hAnsi="Arial" w:cs="Arial"/>
          <w:color w:val="000000" w:themeColor="text1"/>
          <w:sz w:val="20"/>
          <w:szCs w:val="20"/>
        </w:rPr>
        <w:t xml:space="preserve">Please answer the following questions so that we may learn more about </w:t>
      </w:r>
      <w:r w:rsidR="00DA675D" w:rsidRPr="00DA675D">
        <w:rPr>
          <w:rFonts w:ascii="Arial" w:hAnsi="Arial" w:cs="Arial"/>
          <w:color w:val="000000" w:themeColor="text1"/>
          <w:sz w:val="20"/>
          <w:szCs w:val="20"/>
        </w:rPr>
        <w:t>your resolution idea. If</w:t>
      </w:r>
      <w:r w:rsidR="00DA675D">
        <w:rPr>
          <w:rFonts w:ascii="Arial" w:hAnsi="Arial" w:cs="Arial"/>
          <w:color w:val="000000" w:themeColor="text1"/>
          <w:sz w:val="20"/>
          <w:szCs w:val="20"/>
        </w:rPr>
        <w:t xml:space="preserve"> you have </w:t>
      </w:r>
      <w:r w:rsidR="00DA675D" w:rsidRPr="00DA675D">
        <w:rPr>
          <w:rFonts w:ascii="Arial" w:hAnsi="Arial" w:cs="Arial"/>
          <w:color w:val="000000" w:themeColor="text1"/>
          <w:sz w:val="20"/>
          <w:szCs w:val="20"/>
        </w:rPr>
        <w:t xml:space="preserve">any questions, contact the WPS at </w:t>
      </w:r>
      <w:hyperlink r:id="rId10" w:history="1">
        <w:r w:rsidR="00DA675D" w:rsidRPr="00DA675D">
          <w:rPr>
            <w:rStyle w:val="Hyperlink"/>
            <w:rFonts w:ascii="Arial" w:hAnsi="Arial" w:cs="Arial"/>
            <w:sz w:val="20"/>
            <w:szCs w:val="20"/>
          </w:rPr>
          <w:t>wps@ama-assn.org</w:t>
        </w:r>
      </w:hyperlink>
      <w:r w:rsidR="00DA675D" w:rsidRPr="00DA675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99520DF" w14:textId="77777777" w:rsidR="00E203D1" w:rsidRPr="00E203D1" w:rsidRDefault="00E203D1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1AEF7D" w14:textId="2C90432F" w:rsidR="00E97D3A" w:rsidRPr="00E203D1" w:rsidRDefault="007846D0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Proposed </w:t>
      </w:r>
      <w:r w:rsidR="00E97D3A" w:rsidRPr="00E203D1">
        <w:rPr>
          <w:rFonts w:ascii="Arial" w:hAnsi="Arial" w:cs="Arial"/>
          <w:b/>
          <w:color w:val="000000" w:themeColor="text1"/>
          <w:sz w:val="20"/>
          <w:szCs w:val="20"/>
        </w:rPr>
        <w:t>Title:</w:t>
      </w:r>
    </w:p>
    <w:p w14:paraId="19627E81" w14:textId="77777777" w:rsidR="00E97D3A" w:rsidRPr="00E203D1" w:rsidRDefault="00E97D3A" w:rsidP="00E97D3A">
      <w:pPr>
        <w:rPr>
          <w:sz w:val="20"/>
          <w:szCs w:val="20"/>
        </w:rPr>
      </w:pPr>
      <w:r w:rsidRPr="00E203D1">
        <w:rPr>
          <w:noProof/>
          <w:sz w:val="20"/>
          <w:szCs w:val="20"/>
        </w:rPr>
        <w:drawing>
          <wp:inline distT="0" distB="0" distL="0" distR="0" wp14:anchorId="1422B4EA" wp14:editId="12832DF5">
            <wp:extent cx="6228256" cy="276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276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BEA82" w14:textId="38EE5A6D" w:rsidR="005F599F" w:rsidRPr="00E203D1" w:rsidRDefault="005F599F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Topic</w:t>
      </w:r>
      <w:r w:rsidR="007846D0">
        <w:rPr>
          <w:rFonts w:ascii="Arial" w:hAnsi="Arial" w:cs="Arial"/>
          <w:b/>
          <w:color w:val="000000" w:themeColor="text1"/>
          <w:sz w:val="20"/>
          <w:szCs w:val="20"/>
        </w:rPr>
        <w:t xml:space="preserve"> Description</w:t>
      </w: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28080A6" w14:textId="77777777" w:rsidR="00EC5C34" w:rsidRPr="00E203D1" w:rsidRDefault="00E97D3A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D86C547" wp14:editId="464B1440">
            <wp:extent cx="6228272" cy="646981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647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45138" w14:textId="77777777" w:rsidR="00EC5C34" w:rsidRDefault="00EC5C34" w:rsidP="00EC5C34">
      <w:pPr>
        <w:pStyle w:val="ListParagraph"/>
        <w:spacing w:line="240" w:lineRule="auto"/>
        <w:ind w:hanging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CC9F45" w14:textId="6477AF3E" w:rsidR="006C2B48" w:rsidRPr="00E203D1" w:rsidRDefault="003B79D9" w:rsidP="006C2B48">
      <w:pPr>
        <w:pStyle w:val="ListParagraph"/>
        <w:spacing w:line="240" w:lineRule="auto"/>
        <w:ind w:left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How does this topic impact women in medicine?</w:t>
      </w:r>
    </w:p>
    <w:p w14:paraId="114B8AC3" w14:textId="77777777" w:rsidR="006C2B48" w:rsidRDefault="006C2B48" w:rsidP="007846D0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E203D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453A07F" wp14:editId="437F4D08">
            <wp:extent cx="6210605" cy="1036320"/>
            <wp:effectExtent l="0" t="0" r="0" b="0"/>
            <wp:docPr id="486814449" name="Picture 486814449" descr="A white rectangular fram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14449" name="Picture 486814449" descr="A white rectangular fram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437" cy="10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1EB9F" w14:textId="77777777" w:rsidR="006C2B48" w:rsidRDefault="006C2B48" w:rsidP="007846D0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34EFDDB4" w14:textId="72632005" w:rsidR="007846D0" w:rsidRPr="007846D0" w:rsidRDefault="007846D0" w:rsidP="007846D0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7846D0">
        <w:rPr>
          <w:rFonts w:ascii="Arial" w:hAnsi="Arial" w:cs="Arial"/>
          <w:b/>
          <w:bCs/>
          <w:sz w:val="20"/>
          <w:szCs w:val="20"/>
        </w:rPr>
        <w:t>What are you hoping to a</w:t>
      </w:r>
      <w:r>
        <w:rPr>
          <w:rFonts w:ascii="Arial" w:hAnsi="Arial" w:cs="Arial"/>
          <w:b/>
          <w:bCs/>
          <w:sz w:val="20"/>
          <w:szCs w:val="20"/>
        </w:rPr>
        <w:t>ccomplish with this resolution</w:t>
      </w:r>
      <w:r w:rsidRPr="007846D0">
        <w:rPr>
          <w:rFonts w:ascii="Arial" w:hAnsi="Arial" w:cs="Arial"/>
          <w:b/>
          <w:bCs/>
          <w:sz w:val="20"/>
          <w:szCs w:val="20"/>
        </w:rPr>
        <w:t>?</w:t>
      </w:r>
    </w:p>
    <w:p w14:paraId="18B5EB67" w14:textId="77777777" w:rsidR="00EC5C34" w:rsidRPr="00E203D1" w:rsidRDefault="00E97D3A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954C4D3" wp14:editId="540FA9DE">
            <wp:extent cx="6228272" cy="1086929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1087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48485" w14:textId="77777777" w:rsidR="00EC5C34" w:rsidRDefault="00EC5C34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2C2C9B57" w14:textId="77777777" w:rsidR="004E0351" w:rsidRDefault="004E0351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77E26975" w14:textId="74442285" w:rsidR="00EC5C34" w:rsidRPr="00E203D1" w:rsidRDefault="00077E83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color w:val="000000" w:themeColor="text1"/>
          <w:sz w:val="20"/>
          <w:szCs w:val="20"/>
        </w:rPr>
        <w:t>Background</w:t>
      </w:r>
      <w:r w:rsidR="004169C2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4169C2" w:rsidRPr="009B7484">
        <w:rPr>
          <w:rFonts w:ascii="Arial" w:hAnsi="Arial" w:cs="Arial"/>
          <w:b/>
          <w:sz w:val="20"/>
          <w:szCs w:val="20"/>
        </w:rPr>
        <w:t>Supporting Resources</w:t>
      </w:r>
      <w:r w:rsidRPr="009B7484">
        <w:rPr>
          <w:rFonts w:ascii="Arial" w:hAnsi="Arial" w:cs="Arial"/>
          <w:sz w:val="20"/>
          <w:szCs w:val="20"/>
        </w:rPr>
        <w:t>:</w:t>
      </w:r>
      <w:r w:rsidR="00802F52" w:rsidRPr="009B7484">
        <w:rPr>
          <w:rFonts w:ascii="Arial" w:hAnsi="Arial" w:cs="Arial"/>
          <w:sz w:val="20"/>
          <w:szCs w:val="20"/>
        </w:rPr>
        <w:t xml:space="preserve"> </w:t>
      </w:r>
      <w:r w:rsidR="00E97D3A" w:rsidRPr="00E203D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7F493F8" wp14:editId="7CDD87A0">
            <wp:extent cx="6228272" cy="215660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2157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49C53" w14:textId="77777777" w:rsidR="00EC5C34" w:rsidRPr="00E203D1" w:rsidRDefault="00EC5C34" w:rsidP="00EC5C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1A1DE882" w14:textId="77777777" w:rsidR="00AC4E9F" w:rsidRPr="00E203D1" w:rsidRDefault="005F599F" w:rsidP="00EC5C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Relevant </w:t>
      </w:r>
      <w:hyperlink r:id="rId12" w:history="1">
        <w:r w:rsidRPr="00E203D1">
          <w:rPr>
            <w:rStyle w:val="Hyperlink"/>
            <w:rFonts w:ascii="Arial" w:hAnsi="Arial" w:cs="Arial"/>
            <w:b/>
            <w:bCs/>
            <w:sz w:val="20"/>
            <w:szCs w:val="20"/>
          </w:rPr>
          <w:t>AMA Policy</w:t>
        </w:r>
      </w:hyperlink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086D7A3A" w14:textId="77777777" w:rsidR="00EC5C34" w:rsidRPr="00E203D1" w:rsidRDefault="00E97D3A" w:rsidP="00BE0405">
      <w:pPr>
        <w:pStyle w:val="NormalWeb"/>
        <w:tabs>
          <w:tab w:val="left" w:pos="1155"/>
        </w:tabs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59A9131D" wp14:editId="464F2177">
            <wp:extent cx="6229985" cy="142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6C2FB" w14:textId="77777777" w:rsidR="00EC5C34" w:rsidRPr="00E203D1" w:rsidRDefault="00BE0405" w:rsidP="00BE0405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17A31511" w14:textId="0EE1F173" w:rsidR="00BE0405" w:rsidRPr="00E203D1" w:rsidRDefault="00BE0405" w:rsidP="00BE0405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203D1">
        <w:rPr>
          <w:rFonts w:ascii="Arial" w:hAnsi="Arial" w:cs="Arial"/>
          <w:b/>
          <w:bCs/>
          <w:color w:val="000000" w:themeColor="text1"/>
          <w:sz w:val="20"/>
          <w:szCs w:val="20"/>
        </w:rPr>
        <w:t>Is there a gap in existing AMA policy?</w:t>
      </w:r>
    </w:p>
    <w:p w14:paraId="666BE6A5" w14:textId="77777777" w:rsidR="00EC5C34" w:rsidRPr="00E203D1" w:rsidRDefault="00EC5C34" w:rsidP="00EC5C3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7C2DFE" w14:textId="77777777" w:rsidR="001E1F4C" w:rsidRPr="00E203D1" w:rsidRDefault="001E1F4C" w:rsidP="001E1F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203D1">
        <w:rPr>
          <w:rFonts w:ascii="Arial" w:eastAsia="Times New Roman" w:hAnsi="Arial" w:cs="Arial"/>
          <w:color w:val="494949"/>
          <w:sz w:val="20"/>
          <w:szCs w:val="20"/>
        </w:rPr>
        <w:t>If yes, does the proposed resolution address the potential gaps?</w:t>
      </w:r>
    </w:p>
    <w:p w14:paraId="3AFD5240" w14:textId="77777777" w:rsidR="001E1F4C" w:rsidRPr="00E203D1" w:rsidRDefault="00E97D3A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E203D1">
        <w:rPr>
          <w:rFonts w:ascii="Arial" w:eastAsia="Times New Roman" w:hAnsi="Arial" w:cs="Arial"/>
          <w:noProof/>
          <w:color w:val="494949"/>
          <w:sz w:val="20"/>
          <w:szCs w:val="20"/>
        </w:rPr>
        <w:drawing>
          <wp:inline distT="0" distB="0" distL="0" distR="0" wp14:anchorId="64C3BB94" wp14:editId="44000571">
            <wp:extent cx="6230620" cy="14268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92716" w14:textId="77777777" w:rsidR="001E1F4C" w:rsidRPr="00E203D1" w:rsidRDefault="001E1F4C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14:paraId="486D358F" w14:textId="28CBAE09" w:rsidR="00AD4682" w:rsidRPr="00E203D1" w:rsidRDefault="001E1F4C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E203D1">
        <w:rPr>
          <w:rFonts w:ascii="Arial" w:eastAsia="Times New Roman" w:hAnsi="Arial" w:cs="Arial"/>
          <w:color w:val="494949"/>
          <w:sz w:val="20"/>
          <w:szCs w:val="20"/>
        </w:rPr>
        <w:t xml:space="preserve">If </w:t>
      </w:r>
      <w:r w:rsidR="00791412" w:rsidRPr="00E203D1">
        <w:rPr>
          <w:rFonts w:ascii="Arial" w:eastAsia="Times New Roman" w:hAnsi="Arial" w:cs="Arial"/>
          <w:color w:val="494949"/>
          <w:sz w:val="20"/>
          <w:szCs w:val="20"/>
        </w:rPr>
        <w:t>not</w:t>
      </w:r>
      <w:r w:rsidRPr="00E203D1">
        <w:rPr>
          <w:rFonts w:ascii="Arial" w:eastAsia="Times New Roman" w:hAnsi="Arial" w:cs="Arial"/>
          <w:color w:val="494949"/>
          <w:sz w:val="20"/>
          <w:szCs w:val="20"/>
        </w:rPr>
        <w:t>, what is the justification for drafting a resolution?</w:t>
      </w:r>
    </w:p>
    <w:p w14:paraId="20AC7C21" w14:textId="77777777" w:rsidR="00E97D3A" w:rsidRDefault="00E97D3A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E203D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4FDD9060" wp14:editId="01F881EE">
            <wp:extent cx="6228272" cy="1362974"/>
            <wp:effectExtent l="0" t="0" r="127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20" cy="136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36AFD" w14:textId="77777777" w:rsidR="007846D0" w:rsidRDefault="007846D0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14:paraId="740208A4" w14:textId="77777777" w:rsidR="007846D0" w:rsidRDefault="007846D0" w:rsidP="001E1F4C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14:paraId="7541D761" w14:textId="2DF5CCF3" w:rsidR="00DC4A4B" w:rsidRPr="00DC4A4B" w:rsidRDefault="00DC4A4B" w:rsidP="007846D0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C4A4B">
        <w:rPr>
          <w:rFonts w:ascii="Arial" w:hAnsi="Arial" w:cs="Arial"/>
          <w:b/>
          <w:bCs/>
          <w:sz w:val="20"/>
          <w:szCs w:val="20"/>
        </w:rPr>
        <w:t>CONSIDERATIONS WHEN WRITING A RESOLUTION</w:t>
      </w:r>
    </w:p>
    <w:p w14:paraId="208DCD0A" w14:textId="77777777" w:rsidR="00DC4A4B" w:rsidRDefault="00DC4A4B" w:rsidP="007846D0">
      <w:pPr>
        <w:pStyle w:val="NormalWeb"/>
        <w:tabs>
          <w:tab w:val="left" w:pos="2432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238A8935" w14:textId="608DDE0D" w:rsidR="00A562DC" w:rsidRPr="007846D0" w:rsidRDefault="00A562DC" w:rsidP="00A562DC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7846D0">
        <w:rPr>
          <w:rFonts w:ascii="Arial" w:eastAsia="Times New Roman" w:hAnsi="Arial" w:cs="Arial"/>
          <w:color w:val="494949"/>
          <w:sz w:val="20"/>
          <w:szCs w:val="20"/>
        </w:rPr>
        <w:t xml:space="preserve">Identify problem of concern – </w:t>
      </w:r>
      <w:r w:rsidR="00D31D44">
        <w:rPr>
          <w:rFonts w:ascii="Arial" w:eastAsia="Times New Roman" w:hAnsi="Arial" w:cs="Arial"/>
          <w:color w:val="494949"/>
          <w:sz w:val="20"/>
          <w:szCs w:val="20"/>
        </w:rPr>
        <w:t>D</w:t>
      </w:r>
      <w:r w:rsidRPr="007846D0">
        <w:rPr>
          <w:rFonts w:ascii="Arial" w:eastAsia="Times New Roman" w:hAnsi="Arial" w:cs="Arial"/>
          <w:color w:val="494949"/>
          <w:sz w:val="20"/>
          <w:szCs w:val="20"/>
        </w:rPr>
        <w:t>oes it fit within AMA mission</w:t>
      </w:r>
      <w:r w:rsidR="00D31D44">
        <w:rPr>
          <w:rFonts w:ascii="Arial" w:eastAsia="Times New Roman" w:hAnsi="Arial" w:cs="Arial"/>
          <w:color w:val="494949"/>
          <w:sz w:val="20"/>
          <w:szCs w:val="20"/>
        </w:rPr>
        <w:t>? I</w:t>
      </w:r>
      <w:r w:rsidRPr="007846D0">
        <w:rPr>
          <w:rFonts w:ascii="Arial" w:eastAsia="Times New Roman" w:hAnsi="Arial" w:cs="Arial"/>
          <w:color w:val="494949"/>
          <w:sz w:val="20"/>
          <w:szCs w:val="20"/>
        </w:rPr>
        <w:t>s it a policy void</w:t>
      </w:r>
      <w:r w:rsidR="00D31D44">
        <w:rPr>
          <w:rFonts w:ascii="Arial" w:eastAsia="Times New Roman" w:hAnsi="Arial" w:cs="Arial"/>
          <w:color w:val="494949"/>
          <w:sz w:val="20"/>
          <w:szCs w:val="20"/>
        </w:rPr>
        <w:t>? I</w:t>
      </w:r>
      <w:r w:rsidRPr="007846D0">
        <w:rPr>
          <w:rFonts w:ascii="Arial" w:eastAsia="Times New Roman" w:hAnsi="Arial" w:cs="Arial"/>
          <w:color w:val="494949"/>
          <w:sz w:val="20"/>
          <w:szCs w:val="20"/>
        </w:rPr>
        <w:t>s the AMA the appropriate entity to address this issue</w:t>
      </w:r>
      <w:r w:rsidR="00D31D44">
        <w:rPr>
          <w:rFonts w:ascii="Arial" w:eastAsia="Times New Roman" w:hAnsi="Arial" w:cs="Arial"/>
          <w:color w:val="494949"/>
          <w:sz w:val="20"/>
          <w:szCs w:val="20"/>
        </w:rPr>
        <w:t>?</w:t>
      </w:r>
    </w:p>
    <w:p w14:paraId="216DD127" w14:textId="77777777" w:rsidR="00A562DC" w:rsidRDefault="00A562DC" w:rsidP="00A562DC">
      <w:pPr>
        <w:spacing w:after="0" w:line="240" w:lineRule="auto"/>
        <w:ind w:left="720"/>
        <w:rPr>
          <w:rFonts w:ascii="Arial" w:eastAsia="Times New Roman" w:hAnsi="Arial" w:cs="Arial"/>
          <w:color w:val="494949"/>
          <w:sz w:val="20"/>
          <w:szCs w:val="20"/>
        </w:rPr>
      </w:pPr>
    </w:p>
    <w:p w14:paraId="14BE6948" w14:textId="27E1CBF3" w:rsidR="00A562DC" w:rsidRPr="007846D0" w:rsidRDefault="00A562DC" w:rsidP="00A562DC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7846D0">
        <w:rPr>
          <w:rFonts w:ascii="Arial" w:eastAsia="Times New Roman" w:hAnsi="Arial" w:cs="Arial"/>
          <w:color w:val="494949"/>
          <w:sz w:val="20"/>
          <w:szCs w:val="20"/>
        </w:rPr>
        <w:t xml:space="preserve">Review </w:t>
      </w:r>
      <w:hyperlink r:id="rId14" w:history="1">
        <w:r w:rsidRPr="007846D0">
          <w:rPr>
            <w:rStyle w:val="Hyperlink"/>
            <w:rFonts w:ascii="Arial" w:eastAsia="Times New Roman" w:hAnsi="Arial" w:cs="Arial"/>
            <w:sz w:val="20"/>
            <w:szCs w:val="20"/>
          </w:rPr>
          <w:t>PolicyFinder</w:t>
        </w:r>
      </w:hyperlink>
      <w:r w:rsidR="00D31D44">
        <w:rPr>
          <w:rFonts w:ascii="Arial" w:eastAsia="Times New Roman" w:hAnsi="Arial" w:cs="Arial"/>
          <w:color w:val="494949"/>
          <w:sz w:val="20"/>
          <w:szCs w:val="20"/>
        </w:rPr>
        <w:t xml:space="preserve"> to confirm that new or modified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 xml:space="preserve"> policy</w:t>
      </w:r>
      <w:r w:rsidR="00D31D44">
        <w:rPr>
          <w:rFonts w:ascii="Arial" w:eastAsia="Times New Roman" w:hAnsi="Arial" w:cs="Arial"/>
          <w:color w:val="494949"/>
          <w:sz w:val="20"/>
          <w:szCs w:val="20"/>
        </w:rPr>
        <w:t xml:space="preserve"> is needed.</w:t>
      </w:r>
    </w:p>
    <w:p w14:paraId="2743245B" w14:textId="77777777" w:rsidR="00A562DC" w:rsidRDefault="00A562DC" w:rsidP="00A562DC">
      <w:pPr>
        <w:pStyle w:val="ListParagraph"/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14:paraId="35FD15D1" w14:textId="1C59E320" w:rsidR="005524E1" w:rsidRDefault="005524E1" w:rsidP="005524E1">
      <w:pPr>
        <w:pStyle w:val="ListParagraph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5524E1">
        <w:rPr>
          <w:rFonts w:ascii="Arial" w:eastAsia="Times New Roman" w:hAnsi="Arial" w:cs="Arial"/>
          <w:color w:val="494949"/>
          <w:sz w:val="20"/>
          <w:szCs w:val="20"/>
        </w:rPr>
        <w:t>Develop a resolution title that is appropriate and concisely reflects the intent of the resolution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>.</w:t>
      </w:r>
      <w:r w:rsidRPr="005524E1">
        <w:rPr>
          <w:rFonts w:ascii="Arial" w:eastAsia="Times New Roman" w:hAnsi="Arial" w:cs="Arial"/>
          <w:color w:val="494949"/>
          <w:sz w:val="20"/>
          <w:szCs w:val="20"/>
        </w:rPr>
        <w:t xml:space="preserve"> </w:t>
      </w:r>
    </w:p>
    <w:p w14:paraId="3D9DAFC3" w14:textId="77777777" w:rsidR="005524E1" w:rsidRPr="005524E1" w:rsidRDefault="005524E1" w:rsidP="005524E1">
      <w:pPr>
        <w:pStyle w:val="ListParagraph"/>
        <w:rPr>
          <w:rFonts w:ascii="Arial" w:eastAsia="Times New Roman" w:hAnsi="Arial" w:cs="Arial"/>
          <w:color w:val="494949"/>
          <w:sz w:val="20"/>
          <w:szCs w:val="20"/>
        </w:rPr>
      </w:pPr>
    </w:p>
    <w:p w14:paraId="5DBC83CF" w14:textId="3F6AFECB" w:rsidR="00A562DC" w:rsidRDefault="00931FAC" w:rsidP="00A562DC">
      <w:pPr>
        <w:pStyle w:val="ListParagraph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931FAC">
        <w:rPr>
          <w:rFonts w:ascii="Arial" w:eastAsia="Times New Roman" w:hAnsi="Arial" w:cs="Arial"/>
          <w:color w:val="494949"/>
          <w:sz w:val="20"/>
          <w:szCs w:val="20"/>
        </w:rPr>
        <w:t xml:space="preserve">Whereas </w:t>
      </w:r>
      <w:r w:rsidR="0081494A">
        <w:rPr>
          <w:rFonts w:ascii="Arial" w:eastAsia="Times New Roman" w:hAnsi="Arial" w:cs="Arial"/>
          <w:color w:val="494949"/>
          <w:sz w:val="20"/>
          <w:szCs w:val="20"/>
        </w:rPr>
        <w:t xml:space="preserve">clauses should </w:t>
      </w:r>
      <w:r w:rsidRPr="00931FAC">
        <w:rPr>
          <w:rFonts w:ascii="Arial" w:eastAsia="Times New Roman" w:hAnsi="Arial" w:cs="Arial"/>
          <w:color w:val="494949"/>
          <w:sz w:val="20"/>
          <w:szCs w:val="20"/>
        </w:rPr>
        <w:t>support / provide background to establish the intent of the R</w:t>
      </w:r>
      <w:r w:rsidR="0081494A">
        <w:rPr>
          <w:rFonts w:ascii="Arial" w:eastAsia="Times New Roman" w:hAnsi="Arial" w:cs="Arial"/>
          <w:color w:val="494949"/>
          <w:sz w:val="20"/>
          <w:szCs w:val="20"/>
        </w:rPr>
        <w:t>esolve</w:t>
      </w:r>
      <w:r w:rsidRPr="00931FAC">
        <w:rPr>
          <w:rFonts w:ascii="Arial" w:eastAsia="Times New Roman" w:hAnsi="Arial" w:cs="Arial"/>
          <w:color w:val="494949"/>
          <w:sz w:val="20"/>
          <w:szCs w:val="20"/>
        </w:rPr>
        <w:t xml:space="preserve"> clause</w:t>
      </w:r>
      <w:r w:rsidR="0081494A">
        <w:rPr>
          <w:rFonts w:ascii="Arial" w:eastAsia="Times New Roman" w:hAnsi="Arial" w:cs="Arial"/>
          <w:color w:val="494949"/>
          <w:sz w:val="20"/>
          <w:szCs w:val="20"/>
        </w:rPr>
        <w:t>(</w:t>
      </w:r>
      <w:r w:rsidRPr="00931FAC">
        <w:rPr>
          <w:rFonts w:ascii="Arial" w:eastAsia="Times New Roman" w:hAnsi="Arial" w:cs="Arial"/>
          <w:color w:val="494949"/>
          <w:sz w:val="20"/>
          <w:szCs w:val="20"/>
        </w:rPr>
        <w:t>s</w:t>
      </w:r>
      <w:r w:rsidR="0081494A">
        <w:rPr>
          <w:rFonts w:ascii="Arial" w:eastAsia="Times New Roman" w:hAnsi="Arial" w:cs="Arial"/>
          <w:color w:val="494949"/>
          <w:sz w:val="20"/>
          <w:szCs w:val="20"/>
        </w:rPr>
        <w:t>)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>.</w:t>
      </w:r>
    </w:p>
    <w:p w14:paraId="4F7893AF" w14:textId="77777777" w:rsidR="00A562DC" w:rsidRPr="00A562DC" w:rsidRDefault="00A562DC" w:rsidP="00A562DC">
      <w:pPr>
        <w:pStyle w:val="ListParagraph"/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14:paraId="0108A157" w14:textId="49C2BE9E" w:rsidR="00A562DC" w:rsidRDefault="00A562DC" w:rsidP="00A562DC">
      <w:pPr>
        <w:pStyle w:val="ListParagraph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A562DC">
        <w:rPr>
          <w:rFonts w:ascii="Arial" w:eastAsia="Times New Roman" w:hAnsi="Arial" w:cs="Arial"/>
          <w:color w:val="494949"/>
          <w:sz w:val="20"/>
          <w:szCs w:val="20"/>
        </w:rPr>
        <w:t>Resolved Clauses identify a specific position or course of action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>:</w:t>
      </w:r>
    </w:p>
    <w:p w14:paraId="17FB9C41" w14:textId="0C876AAE" w:rsidR="00FD35B4" w:rsidRDefault="00A562DC" w:rsidP="000640CC">
      <w:pPr>
        <w:pStyle w:val="ListParagraph"/>
        <w:numPr>
          <w:ilvl w:val="1"/>
          <w:numId w:val="11"/>
        </w:numPr>
        <w:spacing w:line="240" w:lineRule="auto"/>
        <w:ind w:left="1080"/>
        <w:rPr>
          <w:rFonts w:ascii="Arial" w:eastAsia="Times New Roman" w:hAnsi="Arial" w:cs="Arial"/>
          <w:color w:val="494949"/>
          <w:sz w:val="20"/>
          <w:szCs w:val="20"/>
        </w:rPr>
      </w:pPr>
      <w:r w:rsidRPr="00FD35B4">
        <w:rPr>
          <w:rFonts w:ascii="Arial" w:eastAsia="Times New Roman" w:hAnsi="Arial" w:cs="Arial"/>
          <w:color w:val="494949"/>
          <w:sz w:val="20"/>
          <w:szCs w:val="20"/>
        </w:rPr>
        <w:t>Each Resolve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 xml:space="preserve"> clause 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should propose </w:t>
      </w:r>
      <w:r w:rsidR="0049385A">
        <w:rPr>
          <w:rFonts w:ascii="Arial" w:eastAsia="Times New Roman" w:hAnsi="Arial" w:cs="Arial"/>
          <w:color w:val="494949"/>
          <w:sz w:val="20"/>
          <w:szCs w:val="20"/>
        </w:rPr>
        <w:t>a new</w:t>
      </w:r>
      <w:r w:rsidR="008D26B6">
        <w:rPr>
          <w:rFonts w:ascii="Arial" w:eastAsia="Times New Roman" w:hAnsi="Arial" w:cs="Arial"/>
          <w:color w:val="494949"/>
          <w:sz w:val="20"/>
          <w:szCs w:val="20"/>
        </w:rPr>
        <w:t xml:space="preserve"> policy or 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an adjustment, addition or expansion to existing policy. </w:t>
      </w:r>
    </w:p>
    <w:p w14:paraId="6D294F5F" w14:textId="68BF9094" w:rsidR="00C15A27" w:rsidRDefault="0081494A" w:rsidP="00C15A27">
      <w:pPr>
        <w:pStyle w:val="ListParagraph"/>
        <w:numPr>
          <w:ilvl w:val="1"/>
          <w:numId w:val="11"/>
        </w:numPr>
        <w:spacing w:line="240" w:lineRule="auto"/>
        <w:ind w:left="1080"/>
        <w:rPr>
          <w:rFonts w:ascii="Arial" w:eastAsia="Times New Roman" w:hAnsi="Arial" w:cs="Arial"/>
          <w:color w:val="494949"/>
          <w:sz w:val="20"/>
          <w:szCs w:val="20"/>
        </w:rPr>
      </w:pPr>
      <w:r w:rsidRPr="00FD35B4">
        <w:rPr>
          <w:rFonts w:ascii="Arial" w:eastAsia="Times New Roman" w:hAnsi="Arial" w:cs="Arial"/>
          <w:color w:val="494949"/>
          <w:sz w:val="20"/>
          <w:szCs w:val="20"/>
        </w:rPr>
        <w:t>R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 xml:space="preserve">esolve clauses 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>are requests for the AMA to take a specific position or course of action to address the concern(s) expressed in</w:t>
      </w:r>
      <w:r w:rsidR="00FD35B4">
        <w:rPr>
          <w:rFonts w:ascii="Arial" w:eastAsia="Times New Roman" w:hAnsi="Arial" w:cs="Arial"/>
          <w:color w:val="494949"/>
          <w:sz w:val="20"/>
          <w:szCs w:val="20"/>
        </w:rPr>
        <w:t xml:space="preserve"> 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the 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>W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hereas 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>clause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(s). </w:t>
      </w:r>
    </w:p>
    <w:p w14:paraId="35F32C0E" w14:textId="164D32A5" w:rsidR="00731042" w:rsidRDefault="0081494A" w:rsidP="00731042">
      <w:pPr>
        <w:pStyle w:val="ListParagraph"/>
        <w:numPr>
          <w:ilvl w:val="1"/>
          <w:numId w:val="11"/>
        </w:numPr>
        <w:spacing w:line="240" w:lineRule="auto"/>
        <w:ind w:left="1080"/>
        <w:rPr>
          <w:rFonts w:ascii="Arial" w:eastAsia="Times New Roman" w:hAnsi="Arial" w:cs="Arial"/>
          <w:color w:val="494949"/>
          <w:sz w:val="20"/>
          <w:szCs w:val="20"/>
        </w:rPr>
      </w:pP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Each </w:t>
      </w:r>
      <w:r w:rsidR="00865644">
        <w:rPr>
          <w:rFonts w:ascii="Arial" w:eastAsia="Times New Roman" w:hAnsi="Arial" w:cs="Arial"/>
          <w:color w:val="494949"/>
          <w:sz w:val="20"/>
          <w:szCs w:val="20"/>
        </w:rPr>
        <w:t>Resolve clause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 is focused, stands alone (without reference to whereas statements or other</w:t>
      </w:r>
      <w:r w:rsidR="00FD35B4" w:rsidRPr="00FD35B4">
        <w:rPr>
          <w:rFonts w:ascii="Arial" w:eastAsia="Times New Roman" w:hAnsi="Arial" w:cs="Arial"/>
          <w:color w:val="494949"/>
          <w:sz w:val="20"/>
          <w:szCs w:val="20"/>
        </w:rPr>
        <w:t xml:space="preserve"> </w:t>
      </w:r>
      <w:r w:rsidRPr="00FD35B4">
        <w:rPr>
          <w:rFonts w:ascii="Arial" w:eastAsia="Times New Roman" w:hAnsi="Arial" w:cs="Arial"/>
          <w:color w:val="494949"/>
          <w:sz w:val="20"/>
          <w:szCs w:val="20"/>
        </w:rPr>
        <w:t>resolves), and provides a specific, clear direction or action required by the AMA should it be adopted.</w:t>
      </w:r>
    </w:p>
    <w:p w14:paraId="7AFB9CB5" w14:textId="27EFBA36" w:rsidR="001369F0" w:rsidRDefault="00731042" w:rsidP="001369F0">
      <w:pPr>
        <w:pStyle w:val="ListParagraph"/>
        <w:numPr>
          <w:ilvl w:val="1"/>
          <w:numId w:val="11"/>
        </w:numPr>
        <w:spacing w:line="240" w:lineRule="auto"/>
        <w:ind w:left="1080"/>
        <w:rPr>
          <w:rFonts w:ascii="Arial" w:eastAsia="Times New Roman" w:hAnsi="Arial" w:cs="Arial"/>
          <w:color w:val="494949"/>
          <w:sz w:val="20"/>
          <w:szCs w:val="20"/>
        </w:rPr>
      </w:pPr>
      <w:r w:rsidRPr="00731042">
        <w:rPr>
          <w:rFonts w:ascii="Arial" w:eastAsia="Times New Roman" w:hAnsi="Arial" w:cs="Arial"/>
          <w:color w:val="494949"/>
          <w:sz w:val="20"/>
          <w:szCs w:val="20"/>
        </w:rPr>
        <w:t xml:space="preserve">Each </w:t>
      </w:r>
      <w:r w:rsidR="001A6224">
        <w:rPr>
          <w:rFonts w:ascii="Arial" w:eastAsia="Times New Roman" w:hAnsi="Arial" w:cs="Arial"/>
          <w:color w:val="494949"/>
          <w:sz w:val="20"/>
          <w:szCs w:val="20"/>
        </w:rPr>
        <w:t>R</w:t>
      </w:r>
      <w:r w:rsidRPr="00731042">
        <w:rPr>
          <w:rFonts w:ascii="Arial" w:eastAsia="Times New Roman" w:hAnsi="Arial" w:cs="Arial"/>
          <w:color w:val="494949"/>
          <w:sz w:val="20"/>
          <w:szCs w:val="20"/>
        </w:rPr>
        <w:t>esolve clause or report recommendation must</w:t>
      </w:r>
      <w:r w:rsidR="001369F0">
        <w:rPr>
          <w:rFonts w:ascii="Arial" w:eastAsia="Times New Roman" w:hAnsi="Arial" w:cs="Arial"/>
          <w:color w:val="494949"/>
          <w:sz w:val="20"/>
          <w:szCs w:val="20"/>
        </w:rPr>
        <w:t xml:space="preserve"> include one of the following phrases</w:t>
      </w:r>
      <w:r w:rsidRPr="00731042">
        <w:rPr>
          <w:rFonts w:ascii="Arial" w:eastAsia="Times New Roman" w:hAnsi="Arial" w:cs="Arial"/>
          <w:color w:val="494949"/>
          <w:sz w:val="20"/>
          <w:szCs w:val="20"/>
        </w:rPr>
        <w:t>, in parentheses, that indicates the nature and purpose of the resolve</w:t>
      </w:r>
      <w:r w:rsidR="001369F0">
        <w:rPr>
          <w:rFonts w:ascii="Arial" w:eastAsia="Times New Roman" w:hAnsi="Arial" w:cs="Arial"/>
          <w:color w:val="494949"/>
          <w:sz w:val="20"/>
          <w:szCs w:val="20"/>
        </w:rPr>
        <w:t>:</w:t>
      </w:r>
    </w:p>
    <w:p w14:paraId="5ED057BE" w14:textId="77777777" w:rsidR="001369F0" w:rsidRDefault="00731042" w:rsidP="004963A4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New HOD Policy</w:t>
      </w:r>
    </w:p>
    <w:p w14:paraId="7848FA2F" w14:textId="77777777" w:rsidR="001369F0" w:rsidRDefault="00731042" w:rsidP="004226B5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Modify Current HOD Policy</w:t>
      </w:r>
    </w:p>
    <w:p w14:paraId="323DF676" w14:textId="77777777" w:rsidR="001369F0" w:rsidRDefault="00731042" w:rsidP="003D5DB4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Consolidate Existing HOD Policy</w:t>
      </w:r>
    </w:p>
    <w:p w14:paraId="00575365" w14:textId="77777777" w:rsidR="001369F0" w:rsidRDefault="00731042" w:rsidP="006E313B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Modify Bylaws</w:t>
      </w:r>
    </w:p>
    <w:p w14:paraId="74C38827" w14:textId="77777777" w:rsidR="001369F0" w:rsidRDefault="00731042" w:rsidP="00D41B52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Rescind HOD Policy</w:t>
      </w:r>
    </w:p>
    <w:p w14:paraId="5A68A8EB" w14:textId="77777777" w:rsidR="001369F0" w:rsidRDefault="00731042" w:rsidP="00ED6449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Reaffirm HOD Policy</w:t>
      </w:r>
    </w:p>
    <w:p w14:paraId="41000F2C" w14:textId="7C2534C8" w:rsidR="00731042" w:rsidRPr="001369F0" w:rsidRDefault="00731042" w:rsidP="00ED6449">
      <w:pPr>
        <w:pStyle w:val="ListParagraph"/>
        <w:numPr>
          <w:ilvl w:val="2"/>
          <w:numId w:val="11"/>
        </w:numPr>
        <w:spacing w:line="240" w:lineRule="auto"/>
        <w:ind w:left="1260" w:hanging="180"/>
        <w:rPr>
          <w:rFonts w:ascii="Arial" w:eastAsia="Times New Roman" w:hAnsi="Arial" w:cs="Arial"/>
          <w:color w:val="494949"/>
          <w:sz w:val="20"/>
          <w:szCs w:val="20"/>
        </w:rPr>
      </w:pPr>
      <w:r w:rsidRPr="001369F0">
        <w:rPr>
          <w:rFonts w:ascii="Arial" w:eastAsia="Times New Roman" w:hAnsi="Arial" w:cs="Arial"/>
          <w:color w:val="494949"/>
          <w:sz w:val="20"/>
          <w:szCs w:val="20"/>
        </w:rPr>
        <w:t>Directive to Take Action</w:t>
      </w:r>
    </w:p>
    <w:p w14:paraId="3A52D23E" w14:textId="77777777" w:rsidR="00731042" w:rsidRDefault="00731042" w:rsidP="00731042">
      <w:pPr>
        <w:pStyle w:val="ListParagraph"/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</w:p>
    <w:p w14:paraId="12888F3A" w14:textId="703EAEB8" w:rsidR="00931FAC" w:rsidRDefault="00A562DC" w:rsidP="007846D0">
      <w:pPr>
        <w:pStyle w:val="ListParagraph"/>
        <w:numPr>
          <w:ilvl w:val="0"/>
          <w:numId w:val="11"/>
        </w:numPr>
        <w:spacing w:line="240" w:lineRule="auto"/>
        <w:rPr>
          <w:rFonts w:ascii="Arial" w:eastAsia="Times New Roman" w:hAnsi="Arial" w:cs="Arial"/>
          <w:color w:val="494949"/>
          <w:sz w:val="20"/>
          <w:szCs w:val="20"/>
        </w:rPr>
      </w:pPr>
      <w:r w:rsidRPr="00A562DC">
        <w:rPr>
          <w:rFonts w:ascii="Arial" w:eastAsia="Times New Roman" w:hAnsi="Arial" w:cs="Arial"/>
          <w:color w:val="494949"/>
          <w:sz w:val="20"/>
          <w:szCs w:val="20"/>
        </w:rPr>
        <w:t>Reference citations</w:t>
      </w:r>
      <w:r w:rsidR="001A6224">
        <w:rPr>
          <w:rFonts w:ascii="Arial" w:eastAsia="Times New Roman" w:hAnsi="Arial" w:cs="Arial"/>
          <w:color w:val="494949"/>
          <w:sz w:val="20"/>
          <w:szCs w:val="20"/>
        </w:rPr>
        <w:t xml:space="preserve">, </w:t>
      </w:r>
      <w:r w:rsidRPr="00A562DC">
        <w:rPr>
          <w:rFonts w:ascii="Arial" w:eastAsia="Times New Roman" w:hAnsi="Arial" w:cs="Arial"/>
          <w:color w:val="494949"/>
          <w:sz w:val="20"/>
          <w:szCs w:val="20"/>
        </w:rPr>
        <w:t>if possible or applicable</w:t>
      </w:r>
      <w:r w:rsidR="005524E1">
        <w:rPr>
          <w:rFonts w:ascii="Arial" w:eastAsia="Times New Roman" w:hAnsi="Arial" w:cs="Arial"/>
          <w:color w:val="494949"/>
          <w:sz w:val="20"/>
          <w:szCs w:val="20"/>
        </w:rPr>
        <w:t>, including related AMA policy</w:t>
      </w:r>
      <w:r w:rsidRPr="00A562DC">
        <w:rPr>
          <w:rFonts w:ascii="Arial" w:eastAsia="Times New Roman" w:hAnsi="Arial" w:cs="Arial"/>
          <w:color w:val="494949"/>
          <w:sz w:val="20"/>
          <w:szCs w:val="20"/>
        </w:rPr>
        <w:t>.</w:t>
      </w:r>
    </w:p>
    <w:sectPr w:rsidR="00931FA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BFC8" w14:textId="77777777" w:rsidR="00813917" w:rsidRDefault="00813917" w:rsidP="00E97D3A">
      <w:pPr>
        <w:spacing w:after="0" w:line="240" w:lineRule="auto"/>
      </w:pPr>
      <w:r>
        <w:separator/>
      </w:r>
    </w:p>
  </w:endnote>
  <w:endnote w:type="continuationSeparator" w:id="0">
    <w:p w14:paraId="1035C5CE" w14:textId="77777777" w:rsidR="00813917" w:rsidRDefault="00813917" w:rsidP="00E9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FEF1" w14:textId="77777777" w:rsidR="00813917" w:rsidRDefault="00813917" w:rsidP="00E97D3A">
      <w:pPr>
        <w:spacing w:after="0" w:line="240" w:lineRule="auto"/>
      </w:pPr>
      <w:r>
        <w:separator/>
      </w:r>
    </w:p>
  </w:footnote>
  <w:footnote w:type="continuationSeparator" w:id="0">
    <w:p w14:paraId="03A19DFD" w14:textId="77777777" w:rsidR="00813917" w:rsidRDefault="00813917" w:rsidP="00E9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FCDC" w14:textId="77777777" w:rsidR="00E97D3A" w:rsidRDefault="00E97D3A">
    <w:pPr>
      <w:pStyle w:val="Header"/>
    </w:pPr>
    <w:r>
      <w:rPr>
        <w:noProof/>
      </w:rPr>
      <w:drawing>
        <wp:inline distT="0" distB="0" distL="0" distR="0" wp14:anchorId="296ACC44" wp14:editId="012B21C0">
          <wp:extent cx="1626235" cy="702258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A_si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04" cy="71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5DEC"/>
    <w:multiLevelType w:val="hybridMultilevel"/>
    <w:tmpl w:val="C4BAC35A"/>
    <w:lvl w:ilvl="0" w:tplc="E942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8C81C">
      <w:start w:val="7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0B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66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C9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F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CC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64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8E111E"/>
    <w:multiLevelType w:val="hybridMultilevel"/>
    <w:tmpl w:val="AE7AF5A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3D0613"/>
    <w:multiLevelType w:val="hybridMultilevel"/>
    <w:tmpl w:val="8B74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4DDA"/>
    <w:multiLevelType w:val="hybridMultilevel"/>
    <w:tmpl w:val="F710B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459B"/>
    <w:multiLevelType w:val="multilevel"/>
    <w:tmpl w:val="0F8E047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709EB"/>
    <w:multiLevelType w:val="multilevel"/>
    <w:tmpl w:val="6478B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4DBF"/>
    <w:multiLevelType w:val="hybridMultilevel"/>
    <w:tmpl w:val="BA6691DE"/>
    <w:lvl w:ilvl="0" w:tplc="810E62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5E7536">
      <w:start w:val="92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00DA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5CC17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94F5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5829A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0E84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A672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F01F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B4F3751"/>
    <w:multiLevelType w:val="hybridMultilevel"/>
    <w:tmpl w:val="AD4C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22328"/>
    <w:multiLevelType w:val="hybridMultilevel"/>
    <w:tmpl w:val="4FFA8D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7069BA"/>
    <w:multiLevelType w:val="hybridMultilevel"/>
    <w:tmpl w:val="945C173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731700"/>
    <w:multiLevelType w:val="multilevel"/>
    <w:tmpl w:val="FE8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32A1"/>
    <w:multiLevelType w:val="hybridMultilevel"/>
    <w:tmpl w:val="03CAC1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22474C"/>
    <w:multiLevelType w:val="hybridMultilevel"/>
    <w:tmpl w:val="E104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F1FDB"/>
    <w:multiLevelType w:val="hybridMultilevel"/>
    <w:tmpl w:val="BB62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F1A58"/>
    <w:multiLevelType w:val="hybridMultilevel"/>
    <w:tmpl w:val="D66EC76E"/>
    <w:lvl w:ilvl="0" w:tplc="72303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273A8">
      <w:start w:val="12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0C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AF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05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E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09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80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242734">
    <w:abstractNumId w:val="12"/>
  </w:num>
  <w:num w:numId="2" w16cid:durableId="934940501">
    <w:abstractNumId w:val="5"/>
  </w:num>
  <w:num w:numId="3" w16cid:durableId="1866628338">
    <w:abstractNumId w:val="10"/>
  </w:num>
  <w:num w:numId="4" w16cid:durableId="736637366">
    <w:abstractNumId w:val="6"/>
  </w:num>
  <w:num w:numId="5" w16cid:durableId="622923923">
    <w:abstractNumId w:val="14"/>
  </w:num>
  <w:num w:numId="6" w16cid:durableId="1746879716">
    <w:abstractNumId w:val="0"/>
  </w:num>
  <w:num w:numId="7" w16cid:durableId="870538240">
    <w:abstractNumId w:val="4"/>
  </w:num>
  <w:num w:numId="8" w16cid:durableId="1926644925">
    <w:abstractNumId w:val="7"/>
  </w:num>
  <w:num w:numId="9" w16cid:durableId="1409228319">
    <w:abstractNumId w:val="2"/>
  </w:num>
  <w:num w:numId="10" w16cid:durableId="24138536">
    <w:abstractNumId w:val="13"/>
  </w:num>
  <w:num w:numId="11" w16cid:durableId="1735616825">
    <w:abstractNumId w:val="3"/>
  </w:num>
  <w:num w:numId="12" w16cid:durableId="2124030452">
    <w:abstractNumId w:val="11"/>
  </w:num>
  <w:num w:numId="13" w16cid:durableId="1719938065">
    <w:abstractNumId w:val="9"/>
  </w:num>
  <w:num w:numId="14" w16cid:durableId="1195966473">
    <w:abstractNumId w:val="1"/>
  </w:num>
  <w:num w:numId="15" w16cid:durableId="1613323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18"/>
    <w:rsid w:val="00077E83"/>
    <w:rsid w:val="000C71AF"/>
    <w:rsid w:val="001369F0"/>
    <w:rsid w:val="001A6224"/>
    <w:rsid w:val="001B42F8"/>
    <w:rsid w:val="001E1F4C"/>
    <w:rsid w:val="00212E5C"/>
    <w:rsid w:val="002769F0"/>
    <w:rsid w:val="00277745"/>
    <w:rsid w:val="002C248D"/>
    <w:rsid w:val="0030266A"/>
    <w:rsid w:val="003378AD"/>
    <w:rsid w:val="003A43A0"/>
    <w:rsid w:val="003B79D9"/>
    <w:rsid w:val="0040516B"/>
    <w:rsid w:val="004169C2"/>
    <w:rsid w:val="0049385A"/>
    <w:rsid w:val="004E0351"/>
    <w:rsid w:val="005343AC"/>
    <w:rsid w:val="005524E1"/>
    <w:rsid w:val="005960BD"/>
    <w:rsid w:val="005D1586"/>
    <w:rsid w:val="005E05ED"/>
    <w:rsid w:val="005F599F"/>
    <w:rsid w:val="006A18E2"/>
    <w:rsid w:val="006C2B48"/>
    <w:rsid w:val="006E22D9"/>
    <w:rsid w:val="0070537A"/>
    <w:rsid w:val="007206D6"/>
    <w:rsid w:val="00724630"/>
    <w:rsid w:val="00725B08"/>
    <w:rsid w:val="00731042"/>
    <w:rsid w:val="00753A00"/>
    <w:rsid w:val="007846D0"/>
    <w:rsid w:val="00791412"/>
    <w:rsid w:val="00802F52"/>
    <w:rsid w:val="00813917"/>
    <w:rsid w:val="0081494A"/>
    <w:rsid w:val="00865644"/>
    <w:rsid w:val="00874AAF"/>
    <w:rsid w:val="008970E9"/>
    <w:rsid w:val="008A686A"/>
    <w:rsid w:val="008D26B6"/>
    <w:rsid w:val="008D2954"/>
    <w:rsid w:val="00911D32"/>
    <w:rsid w:val="00931FAC"/>
    <w:rsid w:val="00951FD0"/>
    <w:rsid w:val="00967531"/>
    <w:rsid w:val="009B3C06"/>
    <w:rsid w:val="009B7484"/>
    <w:rsid w:val="00A562DC"/>
    <w:rsid w:val="00A84707"/>
    <w:rsid w:val="00AB028E"/>
    <w:rsid w:val="00AC4E9F"/>
    <w:rsid w:val="00AE6381"/>
    <w:rsid w:val="00BA1635"/>
    <w:rsid w:val="00BE0405"/>
    <w:rsid w:val="00C06973"/>
    <w:rsid w:val="00C15A27"/>
    <w:rsid w:val="00CB28C3"/>
    <w:rsid w:val="00CC779B"/>
    <w:rsid w:val="00D04644"/>
    <w:rsid w:val="00D31D44"/>
    <w:rsid w:val="00D827CE"/>
    <w:rsid w:val="00DA675D"/>
    <w:rsid w:val="00DC4A4B"/>
    <w:rsid w:val="00DE17C4"/>
    <w:rsid w:val="00E203D1"/>
    <w:rsid w:val="00E35FE7"/>
    <w:rsid w:val="00E71A18"/>
    <w:rsid w:val="00E854E9"/>
    <w:rsid w:val="00E97D3A"/>
    <w:rsid w:val="00EB7B9D"/>
    <w:rsid w:val="00EC5C34"/>
    <w:rsid w:val="00FC40D6"/>
    <w:rsid w:val="00FC7C8D"/>
    <w:rsid w:val="00FD35B4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F603"/>
  <w15:docId w15:val="{A8BB7B68-C3FD-4B39-9F1D-1781C02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99F"/>
    <w:pPr>
      <w:spacing w:after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46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E8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D3A"/>
  </w:style>
  <w:style w:type="paragraph" w:styleId="Footer">
    <w:name w:val="footer"/>
    <w:basedOn w:val="Normal"/>
    <w:link w:val="FooterChar"/>
    <w:uiPriority w:val="99"/>
    <w:unhideWhenUsed/>
    <w:rsid w:val="00E97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D3A"/>
  </w:style>
  <w:style w:type="paragraph" w:styleId="BalloonText">
    <w:name w:val="Balloon Text"/>
    <w:basedOn w:val="Normal"/>
    <w:link w:val="BalloonTextChar"/>
    <w:uiPriority w:val="99"/>
    <w:semiHidden/>
    <w:unhideWhenUsed/>
    <w:rsid w:val="00E9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D3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94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29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57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501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5051">
                      <w:marLeft w:val="30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4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985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7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22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89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66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775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61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97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04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3070">
                      <w:marLeft w:val="30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0769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402">
                      <w:marLeft w:val="30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ysearch.ama-assn.org/policyfind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wps@ama-ass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ysearch.ama-assn.org/policyfinder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3EA08194E9E4F9779E377C646135A" ma:contentTypeVersion="13" ma:contentTypeDescription="Create a new document." ma:contentTypeScope="" ma:versionID="86ec21a44e9e7c75459a31252cb2203d">
  <xsd:schema xmlns:xsd="http://www.w3.org/2001/XMLSchema" xmlns:xs="http://www.w3.org/2001/XMLSchema" xmlns:p="http://schemas.microsoft.com/office/2006/metadata/properties" xmlns:ns3="9a677047-1e34-4731-a023-f11e63b8cae3" xmlns:ns4="1322796e-fa56-41da-9b7a-a307c77232ab" targetNamespace="http://schemas.microsoft.com/office/2006/metadata/properties" ma:root="true" ma:fieldsID="617209a40f8f22c8f2db64af4706229e" ns3:_="" ns4:_="">
    <xsd:import namespace="9a677047-1e34-4731-a023-f11e63b8cae3"/>
    <xsd:import namespace="1322796e-fa56-41da-9b7a-a307c7723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77047-1e34-4731-a023-f11e63b8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2796e-fa56-41da-9b7a-a307c772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6CAA4-4194-4052-8CD0-F65B63982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9C323-E41A-461B-81FA-470111CF4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27355-A657-4730-B8A3-E5CDD04F0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77047-1e34-4731-a023-f11e63b8cae3"/>
    <ds:schemaRef ds:uri="1322796e-fa56-41da-9b7a-a307c772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Knox</dc:creator>
  <cp:lastModifiedBy>Wilda Knox</cp:lastModifiedBy>
  <cp:revision>20</cp:revision>
  <cp:lastPrinted>2017-07-25T19:58:00Z</cp:lastPrinted>
  <dcterms:created xsi:type="dcterms:W3CDTF">2023-07-18T17:18:00Z</dcterms:created>
  <dcterms:modified xsi:type="dcterms:W3CDTF">2023-07-26T17:23:00Z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0x0101001993EA08194E9E4F9779E377C646135A</vt:lpwstr>
  </property>
</Properties>
</file>