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3A" w:rsidRPr="00E203D1" w:rsidRDefault="00E97D3A" w:rsidP="00EC5C34">
      <w:pPr>
        <w:pStyle w:val="ListParagraph"/>
        <w:spacing w:line="240" w:lineRule="auto"/>
        <w:ind w:hanging="72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p w:rsidR="00EC5C34" w:rsidRPr="00E203D1" w:rsidRDefault="00E97D3A" w:rsidP="002C248D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2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2"/>
          <w:szCs w:val="20"/>
        </w:rPr>
        <w:t>Women Physicians Section (</w:t>
      </w:r>
      <w:r w:rsidR="00EC5C34" w:rsidRPr="00E203D1">
        <w:rPr>
          <w:rFonts w:ascii="Arial" w:hAnsi="Arial" w:cs="Arial"/>
          <w:b/>
          <w:color w:val="000000" w:themeColor="text1"/>
          <w:sz w:val="22"/>
          <w:szCs w:val="20"/>
        </w:rPr>
        <w:t>WPS</w:t>
      </w:r>
      <w:r w:rsidRPr="00E203D1">
        <w:rPr>
          <w:rFonts w:ascii="Arial" w:hAnsi="Arial" w:cs="Arial"/>
          <w:b/>
          <w:color w:val="000000" w:themeColor="text1"/>
          <w:sz w:val="22"/>
          <w:szCs w:val="20"/>
        </w:rPr>
        <w:t>)</w:t>
      </w:r>
      <w:r w:rsidR="00EC5C34" w:rsidRPr="00E203D1">
        <w:rPr>
          <w:rFonts w:ascii="Arial" w:hAnsi="Arial" w:cs="Arial"/>
          <w:b/>
          <w:color w:val="000000" w:themeColor="text1"/>
          <w:sz w:val="22"/>
          <w:szCs w:val="20"/>
        </w:rPr>
        <w:t xml:space="preserve"> </w:t>
      </w:r>
      <w:r w:rsidRPr="00E203D1">
        <w:rPr>
          <w:rFonts w:ascii="Arial" w:hAnsi="Arial" w:cs="Arial"/>
          <w:b/>
          <w:color w:val="000000" w:themeColor="text1"/>
          <w:sz w:val="22"/>
          <w:szCs w:val="20"/>
        </w:rPr>
        <w:t>Resolution</w:t>
      </w:r>
      <w:r w:rsidR="00EC5C34" w:rsidRPr="00E203D1">
        <w:rPr>
          <w:rFonts w:ascii="Arial" w:hAnsi="Arial" w:cs="Arial"/>
          <w:b/>
          <w:color w:val="000000" w:themeColor="text1"/>
          <w:sz w:val="22"/>
          <w:szCs w:val="20"/>
        </w:rPr>
        <w:t xml:space="preserve"> Idea </w:t>
      </w:r>
      <w:r w:rsidR="00951FD0" w:rsidRPr="00E203D1">
        <w:rPr>
          <w:rFonts w:ascii="Arial" w:hAnsi="Arial" w:cs="Arial"/>
          <w:b/>
          <w:color w:val="000000" w:themeColor="text1"/>
          <w:sz w:val="22"/>
          <w:szCs w:val="20"/>
        </w:rPr>
        <w:t>Tool</w:t>
      </w:r>
    </w:p>
    <w:p w:rsidR="00EC5C34" w:rsidRPr="00E203D1" w:rsidRDefault="00EC5C34" w:rsidP="002C248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77745" w:rsidRDefault="00E35FE7" w:rsidP="002777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7745">
        <w:rPr>
          <w:rFonts w:ascii="Arial" w:hAnsi="Arial" w:cs="Arial"/>
          <w:sz w:val="20"/>
          <w:szCs w:val="20"/>
        </w:rPr>
        <w:t xml:space="preserve">The purpose of the AMA Women Physicians Section (WPS) is to increase the number and influence of women physicians in leadership roles. </w:t>
      </w:r>
      <w:r w:rsidR="00277745" w:rsidRPr="00277745">
        <w:rPr>
          <w:rFonts w:ascii="Arial" w:hAnsi="Arial" w:cs="Arial"/>
          <w:color w:val="000000"/>
          <w:sz w:val="20"/>
          <w:szCs w:val="20"/>
        </w:rPr>
        <w:t>Members of the WPS strive to accomplish the following goals:</w:t>
      </w:r>
    </w:p>
    <w:p w:rsidR="00277745" w:rsidRPr="004E0351" w:rsidRDefault="00277745" w:rsidP="002777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77745" w:rsidRPr="00277745" w:rsidRDefault="00277745" w:rsidP="00212E5C">
      <w:pPr>
        <w:numPr>
          <w:ilvl w:val="0"/>
          <w:numId w:val="7"/>
        </w:numPr>
        <w:shd w:val="clear" w:color="auto" w:fill="FFFFFF"/>
        <w:tabs>
          <w:tab w:val="clear" w:pos="24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Provide a forum for networking, mentoring, advocacy and leadership development for women physicians and medical students.</w:t>
      </w:r>
    </w:p>
    <w:p w:rsidR="00277745" w:rsidRPr="00277745" w:rsidRDefault="00277745" w:rsidP="00212E5C">
      <w:pPr>
        <w:numPr>
          <w:ilvl w:val="0"/>
          <w:numId w:val="7"/>
        </w:numPr>
        <w:shd w:val="clear" w:color="auto" w:fill="FFFFFF"/>
        <w:tabs>
          <w:tab w:val="clear" w:pos="24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Contribute to AMA efforts to increase the membership, participation and leadership of women in the AMA.</w:t>
      </w:r>
    </w:p>
    <w:p w:rsidR="00277745" w:rsidRPr="00277745" w:rsidRDefault="00277745" w:rsidP="00212E5C">
      <w:pPr>
        <w:numPr>
          <w:ilvl w:val="0"/>
          <w:numId w:val="7"/>
        </w:numPr>
        <w:shd w:val="clear" w:color="auto" w:fill="FFFFFF"/>
        <w:tabs>
          <w:tab w:val="clear" w:pos="24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Monitor trends, while identifying and addressing emerging professional issues affecting women in medicine.</w:t>
      </w:r>
    </w:p>
    <w:p w:rsidR="00277745" w:rsidRPr="00277745" w:rsidRDefault="00277745" w:rsidP="00212E5C">
      <w:pPr>
        <w:numPr>
          <w:ilvl w:val="0"/>
          <w:numId w:val="7"/>
        </w:numPr>
        <w:shd w:val="clear" w:color="auto" w:fill="FFFFFF"/>
        <w:tabs>
          <w:tab w:val="clear" w:pos="24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Expand AMA advocacy on women’s health and women in medicine policy issues.</w:t>
      </w:r>
    </w:p>
    <w:p w:rsidR="00277745" w:rsidRPr="00277745" w:rsidRDefault="00277745" w:rsidP="00212E5C">
      <w:pPr>
        <w:numPr>
          <w:ilvl w:val="0"/>
          <w:numId w:val="7"/>
        </w:numPr>
        <w:shd w:val="clear" w:color="auto" w:fill="FFFFFF"/>
        <w:tabs>
          <w:tab w:val="clear" w:pos="24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Enhance AMA cooperation and collaboration with organizations with mutual concerns.</w:t>
      </w:r>
    </w:p>
    <w:p w:rsidR="00277745" w:rsidRDefault="00277745" w:rsidP="002C248D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D204CA" w:rsidRDefault="00725B08" w:rsidP="002C248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One of the ways the WPS e</w:t>
      </w:r>
      <w:r w:rsidRPr="00725B08">
        <w:rPr>
          <w:rFonts w:ascii="Arial" w:hAnsi="Arial" w:cs="Arial"/>
          <w:color w:val="000000" w:themeColor="text1"/>
          <w:sz w:val="20"/>
          <w:szCs w:val="20"/>
        </w:rPr>
        <w:t>xpand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725B08">
        <w:rPr>
          <w:rFonts w:ascii="Arial" w:hAnsi="Arial" w:cs="Arial"/>
          <w:color w:val="000000" w:themeColor="text1"/>
          <w:sz w:val="20"/>
          <w:szCs w:val="20"/>
        </w:rPr>
        <w:t xml:space="preserve"> AMA advocacy on women’s health and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women in medicine policy issues is through its policy making process (e.g., resolution writing). </w:t>
      </w:r>
      <w:r w:rsidR="004E0351" w:rsidRPr="00DA675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A675D">
        <w:rPr>
          <w:rFonts w:ascii="Arial" w:hAnsi="Arial" w:cs="Arial"/>
          <w:color w:val="000000" w:themeColor="text1"/>
          <w:sz w:val="20"/>
          <w:szCs w:val="20"/>
        </w:rPr>
        <w:t>WPS welcomes resolutions that</w:t>
      </w:r>
      <w:r w:rsidR="004E0351" w:rsidRPr="00DA675D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DE17C4" w:rsidRPr="004E0351" w:rsidRDefault="00DE17C4" w:rsidP="002C248D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D204CA" w:rsidRPr="00212E5C" w:rsidRDefault="00DA675D" w:rsidP="00212E5C">
      <w:pPr>
        <w:pStyle w:val="ListParagraph"/>
        <w:numPr>
          <w:ilvl w:val="0"/>
          <w:numId w:val="8"/>
        </w:numPr>
        <w:tabs>
          <w:tab w:val="num" w:pos="360"/>
        </w:tabs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12E5C">
        <w:rPr>
          <w:rFonts w:ascii="Arial" w:hAnsi="Arial" w:cs="Arial"/>
          <w:color w:val="000000" w:themeColor="text1"/>
          <w:sz w:val="20"/>
          <w:szCs w:val="20"/>
        </w:rPr>
        <w:t>Offer a</w:t>
      </w:r>
      <w:r w:rsidR="004E0351" w:rsidRPr="00212E5C">
        <w:rPr>
          <w:rFonts w:ascii="Arial" w:hAnsi="Arial" w:cs="Arial"/>
          <w:color w:val="000000" w:themeColor="text1"/>
          <w:sz w:val="20"/>
          <w:szCs w:val="20"/>
        </w:rPr>
        <w:t xml:space="preserve"> clear directive to the Governing Council (e.g., work with AMA staff to integrate women physicians into AMA activities)</w:t>
      </w:r>
    </w:p>
    <w:p w:rsidR="00D204CA" w:rsidRPr="00212E5C" w:rsidRDefault="004E0351" w:rsidP="00212E5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12E5C">
        <w:rPr>
          <w:rFonts w:ascii="Arial" w:hAnsi="Arial" w:cs="Arial"/>
          <w:color w:val="000000" w:themeColor="text1"/>
          <w:sz w:val="20"/>
          <w:szCs w:val="20"/>
        </w:rPr>
        <w:t>Seek to create new AMA policy or amend existing AMA policy</w:t>
      </w:r>
    </w:p>
    <w:p w:rsidR="00E203D1" w:rsidRPr="00DA675D" w:rsidRDefault="00E203D1" w:rsidP="002C248D">
      <w:pPr>
        <w:pStyle w:val="ListParagraph"/>
        <w:spacing w:line="240" w:lineRule="auto"/>
        <w:ind w:left="0" w:hanging="720"/>
        <w:rPr>
          <w:rFonts w:ascii="Arial" w:hAnsi="Arial" w:cs="Arial"/>
          <w:color w:val="000000" w:themeColor="text1"/>
          <w:sz w:val="20"/>
          <w:szCs w:val="20"/>
        </w:rPr>
      </w:pPr>
    </w:p>
    <w:p w:rsidR="00E203D1" w:rsidRPr="00DA675D" w:rsidRDefault="00E203D1" w:rsidP="002C248D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DA675D">
        <w:rPr>
          <w:rFonts w:ascii="Arial" w:hAnsi="Arial" w:cs="Arial"/>
          <w:color w:val="000000" w:themeColor="text1"/>
          <w:sz w:val="20"/>
          <w:szCs w:val="20"/>
        </w:rPr>
        <w:t xml:space="preserve">Please answer the following questions so that we may learn more about </w:t>
      </w:r>
      <w:r w:rsidR="00DA675D" w:rsidRPr="00DA675D">
        <w:rPr>
          <w:rFonts w:ascii="Arial" w:hAnsi="Arial" w:cs="Arial"/>
          <w:color w:val="000000" w:themeColor="text1"/>
          <w:sz w:val="20"/>
          <w:szCs w:val="20"/>
        </w:rPr>
        <w:t>your resolution idea. If</w:t>
      </w:r>
      <w:r w:rsidR="00DA675D">
        <w:rPr>
          <w:rFonts w:ascii="Arial" w:hAnsi="Arial" w:cs="Arial"/>
          <w:color w:val="000000" w:themeColor="text1"/>
          <w:sz w:val="20"/>
          <w:szCs w:val="20"/>
        </w:rPr>
        <w:t xml:space="preserve"> you have </w:t>
      </w:r>
      <w:r w:rsidR="00DA675D" w:rsidRPr="00DA675D">
        <w:rPr>
          <w:rFonts w:ascii="Arial" w:hAnsi="Arial" w:cs="Arial"/>
          <w:color w:val="000000" w:themeColor="text1"/>
          <w:sz w:val="20"/>
          <w:szCs w:val="20"/>
        </w:rPr>
        <w:t xml:space="preserve">any questions, contact the WPS at </w:t>
      </w:r>
      <w:hyperlink r:id="rId8" w:history="1">
        <w:r w:rsidR="00DA675D" w:rsidRPr="00DA675D">
          <w:rPr>
            <w:rStyle w:val="Hyperlink"/>
            <w:rFonts w:ascii="Arial" w:hAnsi="Arial" w:cs="Arial"/>
            <w:sz w:val="20"/>
            <w:szCs w:val="20"/>
          </w:rPr>
          <w:t>wps@ama-assn.org</w:t>
        </w:r>
      </w:hyperlink>
      <w:r w:rsidR="00DA675D" w:rsidRPr="00DA675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E203D1" w:rsidRPr="00E203D1" w:rsidRDefault="00E203D1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97D3A" w:rsidRPr="00E203D1" w:rsidRDefault="00E97D3A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Title:</w:t>
      </w:r>
    </w:p>
    <w:p w:rsidR="00E97D3A" w:rsidRPr="00E203D1" w:rsidRDefault="00E97D3A" w:rsidP="00E97D3A">
      <w:pPr>
        <w:rPr>
          <w:sz w:val="20"/>
          <w:szCs w:val="20"/>
        </w:rPr>
      </w:pPr>
      <w:r w:rsidRPr="00E203D1">
        <w:rPr>
          <w:noProof/>
          <w:sz w:val="20"/>
          <w:szCs w:val="20"/>
        </w:rPr>
        <w:drawing>
          <wp:inline distT="0" distB="0" distL="0" distR="0" wp14:anchorId="0632F380" wp14:editId="6BB42B12">
            <wp:extent cx="6228256" cy="276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276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99F" w:rsidRPr="00E203D1" w:rsidRDefault="005F599F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Topic:</w:t>
      </w:r>
    </w:p>
    <w:p w:rsidR="00EC5C34" w:rsidRPr="00E203D1" w:rsidRDefault="00E97D3A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79E54CDE" wp14:editId="6CC2E040">
            <wp:extent cx="6228272" cy="646981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647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C34" w:rsidRPr="00E203D1" w:rsidRDefault="00EC5C34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77E83" w:rsidRPr="00E203D1" w:rsidRDefault="005F599F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Premise</w:t>
      </w:r>
      <w:r w:rsidRPr="00E203D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EC5C34" w:rsidRPr="00E203D1" w:rsidRDefault="00E97D3A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B21DDFB" wp14:editId="2D4D9ADC">
            <wp:extent cx="6228272" cy="1086929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1087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C34" w:rsidRDefault="00EC5C34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E0351" w:rsidRPr="00E203D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EC5C34" w:rsidRPr="00E203D1" w:rsidRDefault="00077E83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Background</w:t>
      </w:r>
      <w:r w:rsidRPr="00E203D1">
        <w:rPr>
          <w:rFonts w:ascii="Arial" w:hAnsi="Arial" w:cs="Arial"/>
          <w:color w:val="000000" w:themeColor="text1"/>
          <w:sz w:val="20"/>
          <w:szCs w:val="20"/>
        </w:rPr>
        <w:t>:</w:t>
      </w:r>
      <w:r w:rsidR="00802F52" w:rsidRPr="00E203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D3A" w:rsidRPr="00E203D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C0E1C0" wp14:editId="65A14A9B">
            <wp:extent cx="6228272" cy="215660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2157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C34" w:rsidRPr="00E203D1" w:rsidRDefault="00EC5C34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AC4E9F" w:rsidRPr="00E203D1" w:rsidRDefault="005F599F" w:rsidP="00EC5C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Relevant </w:t>
      </w:r>
      <w:hyperlink r:id="rId10" w:history="1">
        <w:r w:rsidRPr="00E203D1">
          <w:rPr>
            <w:rStyle w:val="Hyperlink"/>
            <w:rFonts w:ascii="Arial" w:hAnsi="Arial" w:cs="Arial"/>
            <w:b/>
            <w:bCs/>
            <w:sz w:val="20"/>
            <w:szCs w:val="20"/>
          </w:rPr>
          <w:t>AMA Policy</w:t>
        </w:r>
      </w:hyperlink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EC5C34" w:rsidRPr="00E203D1" w:rsidRDefault="00E97D3A" w:rsidP="00BE0405">
      <w:pPr>
        <w:pStyle w:val="NormalWeb"/>
        <w:tabs>
          <w:tab w:val="left" w:pos="1155"/>
        </w:tabs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1FCD4726" wp14:editId="212F3694">
            <wp:extent cx="6229985" cy="142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C34" w:rsidRPr="00E203D1" w:rsidRDefault="00BE0405" w:rsidP="00BE0405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BE0405" w:rsidRPr="00E203D1" w:rsidRDefault="00BE0405" w:rsidP="00BE0405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>Is there a gap in existing AMA policy?</w:t>
      </w:r>
    </w:p>
    <w:p w:rsidR="00EC5C34" w:rsidRPr="00E203D1" w:rsidRDefault="00EC5C34" w:rsidP="00EC5C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E1F4C" w:rsidRPr="00E203D1" w:rsidRDefault="001E1F4C" w:rsidP="001E1F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203D1">
        <w:rPr>
          <w:rFonts w:ascii="Arial" w:eastAsia="Times New Roman" w:hAnsi="Arial" w:cs="Arial"/>
          <w:color w:val="494949"/>
          <w:sz w:val="20"/>
          <w:szCs w:val="20"/>
        </w:rPr>
        <w:t>If yes, does the proposed resolution address the potential gaps?</w:t>
      </w:r>
    </w:p>
    <w:p w:rsidR="001E1F4C" w:rsidRPr="00E203D1" w:rsidRDefault="00E97D3A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E203D1">
        <w:rPr>
          <w:rFonts w:ascii="Arial" w:eastAsia="Times New Roman" w:hAnsi="Arial" w:cs="Arial"/>
          <w:noProof/>
          <w:color w:val="494949"/>
          <w:sz w:val="20"/>
          <w:szCs w:val="20"/>
        </w:rPr>
        <w:drawing>
          <wp:inline distT="0" distB="0" distL="0" distR="0" wp14:anchorId="2B4D80F7" wp14:editId="57595C38">
            <wp:extent cx="6230620" cy="14268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F4C" w:rsidRPr="00E203D1" w:rsidRDefault="001E1F4C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:rsidR="00AD4682" w:rsidRPr="00E203D1" w:rsidRDefault="001E1F4C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E203D1">
        <w:rPr>
          <w:rFonts w:ascii="Arial" w:eastAsia="Times New Roman" w:hAnsi="Arial" w:cs="Arial"/>
          <w:color w:val="494949"/>
          <w:sz w:val="20"/>
          <w:szCs w:val="20"/>
        </w:rPr>
        <w:t>If no, what is the justification for drafting a resolution?</w:t>
      </w:r>
    </w:p>
    <w:p w:rsidR="00E97D3A" w:rsidRPr="00E203D1" w:rsidRDefault="00E97D3A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E203D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1A33BE0B" wp14:editId="4E0E5C79">
            <wp:extent cx="6228272" cy="1362974"/>
            <wp:effectExtent l="0" t="0" r="127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20" cy="136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7D3A" w:rsidRPr="00E203D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30" w:rsidRDefault="00580030" w:rsidP="00E97D3A">
      <w:pPr>
        <w:spacing w:after="0" w:line="240" w:lineRule="auto"/>
      </w:pPr>
      <w:r>
        <w:separator/>
      </w:r>
    </w:p>
  </w:endnote>
  <w:endnote w:type="continuationSeparator" w:id="0">
    <w:p w:rsidR="00580030" w:rsidRDefault="00580030" w:rsidP="00E9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30" w:rsidRDefault="00580030" w:rsidP="00E97D3A">
      <w:pPr>
        <w:spacing w:after="0" w:line="240" w:lineRule="auto"/>
      </w:pPr>
      <w:r>
        <w:separator/>
      </w:r>
    </w:p>
  </w:footnote>
  <w:footnote w:type="continuationSeparator" w:id="0">
    <w:p w:rsidR="00580030" w:rsidRDefault="00580030" w:rsidP="00E9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3A" w:rsidRDefault="00E97D3A">
    <w:pPr>
      <w:pStyle w:val="Header"/>
    </w:pPr>
    <w:r>
      <w:rPr>
        <w:noProof/>
      </w:rPr>
      <w:drawing>
        <wp:inline distT="0" distB="0" distL="0" distR="0" wp14:anchorId="4D1C30AB" wp14:editId="4D83ED7B">
          <wp:extent cx="1626235" cy="702258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A_si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04" cy="71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EC"/>
    <w:multiLevelType w:val="hybridMultilevel"/>
    <w:tmpl w:val="C4BAC35A"/>
    <w:lvl w:ilvl="0" w:tplc="E942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8C81C">
      <w:start w:val="7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0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66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C9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F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CC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64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8F459B"/>
    <w:multiLevelType w:val="multilevel"/>
    <w:tmpl w:val="0F8E047C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</w:abstractNum>
  <w:abstractNum w:abstractNumId="2">
    <w:nsid w:val="1A1709EB"/>
    <w:multiLevelType w:val="multilevel"/>
    <w:tmpl w:val="6478B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3424DBF"/>
    <w:multiLevelType w:val="hybridMultilevel"/>
    <w:tmpl w:val="BA6691DE"/>
    <w:lvl w:ilvl="0" w:tplc="810E62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5E7536">
      <w:start w:val="92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00DA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5CC17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94F5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5829A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0E84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A672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F01F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2B4F3751"/>
    <w:multiLevelType w:val="hybridMultilevel"/>
    <w:tmpl w:val="AD4C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731700"/>
    <w:multiLevelType w:val="multilevel"/>
    <w:tmpl w:val="FE8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2474C"/>
    <w:multiLevelType w:val="hybridMultilevel"/>
    <w:tmpl w:val="E104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F1A58"/>
    <w:multiLevelType w:val="hybridMultilevel"/>
    <w:tmpl w:val="D66EC76E"/>
    <w:lvl w:ilvl="0" w:tplc="72303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273A8">
      <w:start w:val="1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0C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AF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05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E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09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80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18"/>
    <w:rsid w:val="00077E83"/>
    <w:rsid w:val="000C71AF"/>
    <w:rsid w:val="001B42F8"/>
    <w:rsid w:val="001E1F4C"/>
    <w:rsid w:val="00212E5C"/>
    <w:rsid w:val="00277745"/>
    <w:rsid w:val="002C248D"/>
    <w:rsid w:val="0040516B"/>
    <w:rsid w:val="004E0351"/>
    <w:rsid w:val="005343AC"/>
    <w:rsid w:val="00580030"/>
    <w:rsid w:val="005960BD"/>
    <w:rsid w:val="005D1586"/>
    <w:rsid w:val="005E05ED"/>
    <w:rsid w:val="005F599F"/>
    <w:rsid w:val="0070537A"/>
    <w:rsid w:val="007206D6"/>
    <w:rsid w:val="00725B08"/>
    <w:rsid w:val="00753A00"/>
    <w:rsid w:val="00802F52"/>
    <w:rsid w:val="00874AAF"/>
    <w:rsid w:val="008D2954"/>
    <w:rsid w:val="00951FD0"/>
    <w:rsid w:val="00A84707"/>
    <w:rsid w:val="00AB028E"/>
    <w:rsid w:val="00AC3ABD"/>
    <w:rsid w:val="00AC4E9F"/>
    <w:rsid w:val="00BE0405"/>
    <w:rsid w:val="00C06973"/>
    <w:rsid w:val="00CB28C3"/>
    <w:rsid w:val="00CC779B"/>
    <w:rsid w:val="00D04644"/>
    <w:rsid w:val="00D204CA"/>
    <w:rsid w:val="00D827CE"/>
    <w:rsid w:val="00DA675D"/>
    <w:rsid w:val="00DE17C4"/>
    <w:rsid w:val="00E203D1"/>
    <w:rsid w:val="00E35FE7"/>
    <w:rsid w:val="00E71A18"/>
    <w:rsid w:val="00E854E9"/>
    <w:rsid w:val="00E97D3A"/>
    <w:rsid w:val="00EB7B9D"/>
    <w:rsid w:val="00EC5C34"/>
    <w:rsid w:val="00FC40D6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99F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46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E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3A"/>
  </w:style>
  <w:style w:type="paragraph" w:styleId="Footer">
    <w:name w:val="footer"/>
    <w:basedOn w:val="Normal"/>
    <w:link w:val="FooterChar"/>
    <w:uiPriority w:val="99"/>
    <w:unhideWhenUsed/>
    <w:rsid w:val="00E9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3A"/>
  </w:style>
  <w:style w:type="paragraph" w:styleId="BalloonText">
    <w:name w:val="Balloon Text"/>
    <w:basedOn w:val="Normal"/>
    <w:link w:val="BalloonTextChar"/>
    <w:uiPriority w:val="99"/>
    <w:semiHidden/>
    <w:unhideWhenUsed/>
    <w:rsid w:val="00E9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99F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46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E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3A"/>
  </w:style>
  <w:style w:type="paragraph" w:styleId="Footer">
    <w:name w:val="footer"/>
    <w:basedOn w:val="Normal"/>
    <w:link w:val="FooterChar"/>
    <w:uiPriority w:val="99"/>
    <w:unhideWhenUsed/>
    <w:rsid w:val="00E9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3A"/>
  </w:style>
  <w:style w:type="paragraph" w:styleId="BalloonText">
    <w:name w:val="Balloon Text"/>
    <w:basedOn w:val="Normal"/>
    <w:link w:val="BalloonTextChar"/>
    <w:uiPriority w:val="99"/>
    <w:semiHidden/>
    <w:unhideWhenUsed/>
    <w:rsid w:val="00E9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94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29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57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501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5051">
                      <w:marLeft w:val="30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4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985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7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22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89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66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775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6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97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04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3070">
                      <w:marLeft w:val="30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0769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402">
                      <w:marLeft w:val="30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ama-assn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policysearch.ama-assn.org/policyfinder/search/burnout%20female/relevant/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Knox</dc:creator>
  <cp:lastModifiedBy>Ivonne Cueva</cp:lastModifiedBy>
  <cp:revision>2</cp:revision>
  <cp:lastPrinted>2017-07-25T19:58:00Z</cp:lastPrinted>
  <dcterms:created xsi:type="dcterms:W3CDTF">2018-01-26T15:05:00Z</dcterms:created>
  <dcterms:modified xsi:type="dcterms:W3CDTF">2018-01-26T15:05:00Z</dcterms:modified>
</cp:coreProperties>
</file>